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17C8" w14:textId="77777777" w:rsidR="008B7379" w:rsidRPr="000C6833" w:rsidRDefault="008B7379" w:rsidP="008B7379">
      <w:pPr>
        <w:rPr>
          <w:rFonts w:ascii="Algerian" w:hAnsi="Algerian"/>
          <w:b/>
          <w:sz w:val="48"/>
          <w:szCs w:val="48"/>
        </w:rPr>
      </w:pPr>
      <w:r w:rsidRPr="000C6833">
        <w:rPr>
          <w:rFonts w:ascii="Algerian" w:hAnsi="Algerian"/>
          <w:b/>
          <w:sz w:val="48"/>
          <w:szCs w:val="48"/>
        </w:rPr>
        <w:t xml:space="preserve">                          STUDY MATERIAL</w:t>
      </w:r>
    </w:p>
    <w:p w14:paraId="788817C9" w14:textId="159560F4" w:rsidR="008B7379" w:rsidRDefault="008B7379" w:rsidP="008B7379">
      <w:pPr>
        <w:rPr>
          <w:b/>
          <w:sz w:val="32"/>
          <w:szCs w:val="32"/>
        </w:rPr>
      </w:pPr>
      <w:r>
        <w:rPr>
          <w:b/>
          <w:sz w:val="32"/>
          <w:szCs w:val="32"/>
        </w:rPr>
        <w:t>Semester – II (</w:t>
      </w:r>
      <w:proofErr w:type="gramStart"/>
      <w:r>
        <w:rPr>
          <w:b/>
          <w:sz w:val="32"/>
          <w:szCs w:val="32"/>
        </w:rPr>
        <w:t xml:space="preserve">Hons)   </w:t>
      </w:r>
      <w:proofErr w:type="gramEnd"/>
      <w:r>
        <w:rPr>
          <w:b/>
          <w:sz w:val="32"/>
          <w:szCs w:val="32"/>
        </w:rPr>
        <w:t xml:space="preserve">                                                            CC - IV, unit </w:t>
      </w:r>
      <w:r w:rsidR="00A679F0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5</w:t>
      </w:r>
    </w:p>
    <w:p w14:paraId="1367D01F" w14:textId="0EA5604C" w:rsidR="00A679F0" w:rsidRPr="00A679F0" w:rsidRDefault="00A679F0" w:rsidP="008B7379">
      <w:pPr>
        <w:rPr>
          <w:b/>
          <w:bCs/>
        </w:rPr>
      </w:pPr>
      <w:r w:rsidRPr="00065319">
        <w:t xml:space="preserve">   </w:t>
      </w:r>
      <w:r w:rsidRPr="00A679F0">
        <w:rPr>
          <w:b/>
          <w:bCs/>
        </w:rPr>
        <w:t xml:space="preserve">Prepared by Sri Rabi Sankar Das, Department of Botany, Hiralal Mazumdar Memorial </w:t>
      </w:r>
      <w:proofErr w:type="gramStart"/>
      <w:r w:rsidRPr="00A679F0">
        <w:rPr>
          <w:b/>
          <w:bCs/>
        </w:rPr>
        <w:t>College  for</w:t>
      </w:r>
      <w:proofErr w:type="gramEnd"/>
      <w:r w:rsidRPr="00A679F0">
        <w:rPr>
          <w:b/>
          <w:bCs/>
        </w:rPr>
        <w:t xml:space="preserve"> Women, </w:t>
      </w:r>
      <w:proofErr w:type="spellStart"/>
      <w:r w:rsidRPr="00A679F0">
        <w:rPr>
          <w:b/>
          <w:bCs/>
        </w:rPr>
        <w:t>Dakshineswar</w:t>
      </w:r>
      <w:proofErr w:type="spellEnd"/>
    </w:p>
    <w:p w14:paraId="788817CA" w14:textId="77777777" w:rsidR="006875FF" w:rsidRDefault="008B737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</w:t>
      </w:r>
      <w:r w:rsidRPr="008B7379">
        <w:rPr>
          <w:b/>
          <w:sz w:val="36"/>
          <w:szCs w:val="36"/>
        </w:rPr>
        <w:t xml:space="preserve"> </w:t>
      </w:r>
      <w:r w:rsidRPr="008B7379">
        <w:rPr>
          <w:b/>
          <w:sz w:val="36"/>
          <w:szCs w:val="36"/>
          <w:u w:val="single"/>
        </w:rPr>
        <w:t xml:space="preserve">Reproduction of </w:t>
      </w:r>
      <w:r w:rsidRPr="008B7379">
        <w:rPr>
          <w:b/>
          <w:i/>
          <w:sz w:val="36"/>
          <w:szCs w:val="36"/>
          <w:u w:val="single"/>
        </w:rPr>
        <w:t>Equisetum</w:t>
      </w:r>
      <w:r w:rsidRPr="008B7379">
        <w:rPr>
          <w:b/>
          <w:sz w:val="36"/>
          <w:szCs w:val="36"/>
          <w:u w:val="single"/>
        </w:rPr>
        <w:t xml:space="preserve"> </w:t>
      </w:r>
      <w:proofErr w:type="spellStart"/>
      <w:r w:rsidRPr="008B7379">
        <w:rPr>
          <w:b/>
          <w:sz w:val="36"/>
          <w:szCs w:val="36"/>
          <w:u w:val="single"/>
        </w:rPr>
        <w:t>sp</w:t>
      </w:r>
      <w:proofErr w:type="spellEnd"/>
      <w:r w:rsidRPr="008B7379">
        <w:rPr>
          <w:b/>
          <w:sz w:val="36"/>
          <w:szCs w:val="36"/>
          <w:u w:val="single"/>
        </w:rPr>
        <w:t xml:space="preserve"> </w:t>
      </w:r>
    </w:p>
    <w:p w14:paraId="788817CB" w14:textId="77777777" w:rsidR="008B7379" w:rsidRDefault="008B7379">
      <w:pPr>
        <w:rPr>
          <w:sz w:val="28"/>
          <w:szCs w:val="28"/>
        </w:rPr>
      </w:pPr>
    </w:p>
    <w:p w14:paraId="788817CC" w14:textId="77777777" w:rsidR="008B7379" w:rsidRDefault="008B7379">
      <w:pPr>
        <w:rPr>
          <w:sz w:val="28"/>
          <w:szCs w:val="28"/>
        </w:rPr>
      </w:pPr>
      <w:r>
        <w:rPr>
          <w:sz w:val="28"/>
          <w:szCs w:val="28"/>
        </w:rPr>
        <w:t xml:space="preserve">     The plant </w:t>
      </w:r>
      <w:r w:rsidRPr="008B7379">
        <w:rPr>
          <w:i/>
          <w:sz w:val="28"/>
          <w:szCs w:val="28"/>
        </w:rPr>
        <w:t>Equisetum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 perform reproduction by both vegetative mode and the production of spores.</w:t>
      </w:r>
    </w:p>
    <w:p w14:paraId="788817CD" w14:textId="77777777" w:rsidR="008B7379" w:rsidRDefault="008B7379" w:rsidP="008B73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Vegetative </w:t>
      </w:r>
      <w:proofErr w:type="gramStart"/>
      <w:r>
        <w:rPr>
          <w:b/>
          <w:sz w:val="28"/>
          <w:szCs w:val="28"/>
        </w:rPr>
        <w:t>propagation :</w:t>
      </w:r>
      <w:proofErr w:type="gramEnd"/>
      <w:r>
        <w:rPr>
          <w:b/>
          <w:sz w:val="28"/>
          <w:szCs w:val="28"/>
        </w:rPr>
        <w:t xml:space="preserve">- </w:t>
      </w:r>
    </w:p>
    <w:p w14:paraId="788817CE" w14:textId="77777777" w:rsidR="008B7379" w:rsidRDefault="008B7379" w:rsidP="008B737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 tuber </w:t>
      </w:r>
      <w:proofErr w:type="gramStart"/>
      <w:r>
        <w:rPr>
          <w:b/>
          <w:sz w:val="28"/>
          <w:szCs w:val="28"/>
        </w:rPr>
        <w:t>formation :</w:t>
      </w:r>
      <w:proofErr w:type="gramEnd"/>
      <w:r>
        <w:rPr>
          <w:b/>
          <w:sz w:val="28"/>
          <w:szCs w:val="28"/>
        </w:rPr>
        <w:t xml:space="preserve">- </w:t>
      </w:r>
    </w:p>
    <w:p w14:paraId="788817CF" w14:textId="77777777" w:rsidR="00D878EC" w:rsidRDefault="00D878EC" w:rsidP="008B737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7379" w:rsidRPr="008B7379">
        <w:rPr>
          <w:sz w:val="28"/>
          <w:szCs w:val="28"/>
        </w:rPr>
        <w:t>In some species</w:t>
      </w:r>
      <w:r w:rsidR="008B7379">
        <w:rPr>
          <w:sz w:val="28"/>
          <w:szCs w:val="28"/>
        </w:rPr>
        <w:t xml:space="preserve"> the </w:t>
      </w:r>
      <w:r>
        <w:rPr>
          <w:sz w:val="28"/>
          <w:szCs w:val="28"/>
        </w:rPr>
        <w:t>branches primordial on rhizome remain</w:t>
      </w:r>
      <w:r w:rsidR="008B7379">
        <w:rPr>
          <w:sz w:val="28"/>
          <w:szCs w:val="28"/>
        </w:rPr>
        <w:t xml:space="preserve"> short and develop into round or ovoid tuber. When detached from parent rhizome </w:t>
      </w:r>
      <w:r>
        <w:rPr>
          <w:sz w:val="28"/>
          <w:szCs w:val="28"/>
        </w:rPr>
        <w:t xml:space="preserve">each tuber </w:t>
      </w:r>
      <w:proofErr w:type="gramStart"/>
      <w:r>
        <w:rPr>
          <w:sz w:val="28"/>
          <w:szCs w:val="28"/>
        </w:rPr>
        <w:t>grow</w:t>
      </w:r>
      <w:proofErr w:type="gramEnd"/>
      <w:r>
        <w:rPr>
          <w:sz w:val="28"/>
          <w:szCs w:val="28"/>
        </w:rPr>
        <w:t xml:space="preserve"> into a new plant.</w:t>
      </w:r>
    </w:p>
    <w:p w14:paraId="788817D0" w14:textId="77777777" w:rsidR="008B7379" w:rsidRDefault="00D878EC" w:rsidP="00D878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 branch </w:t>
      </w:r>
      <w:proofErr w:type="gramStart"/>
      <w:r>
        <w:rPr>
          <w:b/>
          <w:sz w:val="28"/>
          <w:szCs w:val="28"/>
        </w:rPr>
        <w:t>primordial :</w:t>
      </w:r>
      <w:proofErr w:type="gramEnd"/>
      <w:r>
        <w:rPr>
          <w:b/>
          <w:sz w:val="28"/>
          <w:szCs w:val="28"/>
        </w:rPr>
        <w:t xml:space="preserve">- </w:t>
      </w:r>
    </w:p>
    <w:p w14:paraId="788817D1" w14:textId="77777777" w:rsidR="00D878EC" w:rsidRDefault="00D878EC" w:rsidP="00D878EC">
      <w:pPr>
        <w:pStyle w:val="ListParagraph"/>
        <w:ind w:left="1080"/>
        <w:rPr>
          <w:sz w:val="28"/>
          <w:szCs w:val="28"/>
        </w:rPr>
      </w:pPr>
      <w:r w:rsidRPr="00D878EC">
        <w:rPr>
          <w:sz w:val="28"/>
          <w:szCs w:val="28"/>
        </w:rPr>
        <w:t xml:space="preserve">        Every</w:t>
      </w:r>
      <w:r>
        <w:rPr>
          <w:sz w:val="28"/>
          <w:szCs w:val="28"/>
        </w:rPr>
        <w:t xml:space="preserve"> branch of rhizome bear performed branch primordial which can </w:t>
      </w:r>
      <w:proofErr w:type="gramStart"/>
      <w:r>
        <w:rPr>
          <w:sz w:val="28"/>
          <w:szCs w:val="28"/>
        </w:rPr>
        <w:t>developed</w:t>
      </w:r>
      <w:proofErr w:type="gramEnd"/>
      <w:r>
        <w:rPr>
          <w:sz w:val="28"/>
          <w:szCs w:val="28"/>
        </w:rPr>
        <w:t xml:space="preserve"> in to a new subterranean and aerial branches. The older portion of the </w:t>
      </w:r>
      <w:proofErr w:type="gramStart"/>
      <w:r>
        <w:rPr>
          <w:sz w:val="28"/>
          <w:szCs w:val="28"/>
        </w:rPr>
        <w:t>deep seated</w:t>
      </w:r>
      <w:proofErr w:type="gramEnd"/>
      <w:r>
        <w:rPr>
          <w:sz w:val="28"/>
          <w:szCs w:val="28"/>
        </w:rPr>
        <w:t xml:space="preserve"> rhizome may decay setting free the branches. Each branch with the help of preformed branch primordial developed in to a new plant.</w:t>
      </w:r>
    </w:p>
    <w:p w14:paraId="788817D2" w14:textId="77777777" w:rsidR="00C56FCA" w:rsidRPr="00C56FCA" w:rsidRDefault="00C56FCA" w:rsidP="00C56FC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88817D3" w14:textId="77777777" w:rsidR="00C56FCA" w:rsidRDefault="00C56FCA" w:rsidP="00C56FC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Reproduction by the formation of </w:t>
      </w:r>
      <w:proofErr w:type="gramStart"/>
      <w:r>
        <w:rPr>
          <w:b/>
          <w:sz w:val="28"/>
          <w:szCs w:val="28"/>
        </w:rPr>
        <w:t>spore:-</w:t>
      </w:r>
      <w:proofErr w:type="gramEnd"/>
      <w:r>
        <w:rPr>
          <w:b/>
          <w:sz w:val="28"/>
          <w:szCs w:val="28"/>
        </w:rPr>
        <w:t xml:space="preserve"> </w:t>
      </w:r>
    </w:p>
    <w:p w14:paraId="788817D4" w14:textId="77777777" w:rsidR="00C56FCA" w:rsidRDefault="00C56FCA" w:rsidP="00C56FCA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E</w:t>
      </w:r>
      <w:r>
        <w:rPr>
          <w:sz w:val="28"/>
          <w:szCs w:val="28"/>
        </w:rPr>
        <w:t>quisetum is a homosporous species which shows the incipient heterospory. The sporangia are borne on the sporangiophores which are terminal in position.</w:t>
      </w:r>
    </w:p>
    <w:p w14:paraId="788817D5" w14:textId="77777777" w:rsidR="00C56FCA" w:rsidRDefault="00C56FCA" w:rsidP="00C56F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8817D6" w14:textId="77777777" w:rsidR="00C56FCA" w:rsidRDefault="00367E62" w:rsidP="00C56FCA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Strobilus:</w:t>
      </w:r>
      <w:r w:rsidR="00C56FCA">
        <w:rPr>
          <w:b/>
          <w:sz w:val="28"/>
          <w:szCs w:val="28"/>
        </w:rPr>
        <w:t>-</w:t>
      </w:r>
      <w:proofErr w:type="gramEnd"/>
      <w:r w:rsidR="00C56FCA">
        <w:rPr>
          <w:b/>
          <w:sz w:val="28"/>
          <w:szCs w:val="28"/>
        </w:rPr>
        <w:t xml:space="preserve"> </w:t>
      </w:r>
    </w:p>
    <w:p w14:paraId="788817D7" w14:textId="77777777" w:rsidR="00C56FCA" w:rsidRDefault="00C56FCA" w:rsidP="00C56F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It consists of a central thick axis which bears a number</w:t>
      </w:r>
      <w:r w:rsidR="00367E62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densely crowed T – shaped peltate scales called </w:t>
      </w:r>
      <w:r w:rsidR="003D5D36">
        <w:rPr>
          <w:sz w:val="28"/>
          <w:szCs w:val="28"/>
        </w:rPr>
        <w:t>the sporangiophores.</w:t>
      </w:r>
    </w:p>
    <w:p w14:paraId="788817D8" w14:textId="77777777" w:rsidR="003D5D36" w:rsidRDefault="003D5D36" w:rsidP="00C56F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Sporangiophores are arranged on the axis in successive whorls alternating with one another. </w:t>
      </w:r>
    </w:p>
    <w:p w14:paraId="788817D9" w14:textId="77777777" w:rsidR="003D5D36" w:rsidRDefault="003D5D36" w:rsidP="003D5D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367E62">
        <w:rPr>
          <w:b/>
          <w:sz w:val="28"/>
          <w:szCs w:val="28"/>
        </w:rPr>
        <w:t>S</w:t>
      </w:r>
      <w:r w:rsidR="00367E62" w:rsidRPr="003D5D36">
        <w:rPr>
          <w:b/>
          <w:sz w:val="28"/>
          <w:szCs w:val="28"/>
        </w:rPr>
        <w:t>porangiophores: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</w:p>
    <w:p w14:paraId="788817DA" w14:textId="77777777" w:rsidR="003D5D36" w:rsidRDefault="003D5D36" w:rsidP="003D5D3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D5D36">
        <w:rPr>
          <w:sz w:val="28"/>
          <w:szCs w:val="28"/>
        </w:rPr>
        <w:t xml:space="preserve">It </w:t>
      </w:r>
      <w:r>
        <w:rPr>
          <w:sz w:val="28"/>
          <w:szCs w:val="28"/>
        </w:rPr>
        <w:t xml:space="preserve">has two regions – (a) a small proximal cylindrical and stalk like                                                                         </w:t>
      </w:r>
    </w:p>
    <w:p w14:paraId="788817DB" w14:textId="77777777" w:rsidR="003D5D36" w:rsidRDefault="003D5D36" w:rsidP="003D5D36">
      <w:pPr>
        <w:pStyle w:val="ListParagraph"/>
        <w:ind w:left="12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D5D36">
        <w:rPr>
          <w:sz w:val="28"/>
          <w:szCs w:val="28"/>
        </w:rPr>
        <w:t xml:space="preserve">portion </w:t>
      </w:r>
      <w:r>
        <w:rPr>
          <w:sz w:val="28"/>
          <w:szCs w:val="28"/>
        </w:rPr>
        <w:t>attached at right angle to the cone</w:t>
      </w:r>
    </w:p>
    <w:p w14:paraId="788817DC" w14:textId="77777777" w:rsidR="003E7721" w:rsidRDefault="003E7721" w:rsidP="003D5D36">
      <w:pPr>
        <w:pStyle w:val="ListParagraph"/>
        <w:ind w:left="12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(b)  A shield shaped pelted disc attached to the </w:t>
      </w:r>
    </w:p>
    <w:p w14:paraId="788817DD" w14:textId="77777777" w:rsidR="002D5D2C" w:rsidRDefault="003E7721" w:rsidP="002D5D2C">
      <w:pPr>
        <w:pStyle w:val="ListParagraph"/>
        <w:ind w:left="12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Distal or outer end of th</w:t>
      </w:r>
      <w:r w:rsidR="002D5D2C">
        <w:rPr>
          <w:sz w:val="28"/>
          <w:szCs w:val="28"/>
        </w:rPr>
        <w:t xml:space="preserve">e stem. </w:t>
      </w:r>
    </w:p>
    <w:p w14:paraId="788817DE" w14:textId="77777777" w:rsidR="00550210" w:rsidRPr="00550210" w:rsidRDefault="00550210" w:rsidP="00550210">
      <w:pPr>
        <w:pStyle w:val="ListParagraph"/>
        <w:ind w:left="12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502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14:paraId="788817DF" w14:textId="77777777" w:rsidR="00550210" w:rsidRDefault="00550210" w:rsidP="00550210">
      <w:pPr>
        <w:pStyle w:val="ListParagraph"/>
        <w:ind w:left="1296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8817FB" wp14:editId="788817FC">
            <wp:simplePos x="0" y="0"/>
            <wp:positionH relativeFrom="column">
              <wp:posOffset>270510</wp:posOffset>
            </wp:positionH>
            <wp:positionV relativeFrom="paragraph">
              <wp:posOffset>67310</wp:posOffset>
            </wp:positionV>
            <wp:extent cx="2670810" cy="2811780"/>
            <wp:effectExtent l="19050" t="0" r="0" b="0"/>
            <wp:wrapSquare wrapText="bothSides"/>
            <wp:docPr id="4" name="Picture 3" descr="G:\screen shot images\Screenshot_20200329-20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creen shot images\Screenshot_20200329-2005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88817FD" wp14:editId="788817FE">
            <wp:extent cx="2099310" cy="2880359"/>
            <wp:effectExtent l="19050" t="0" r="0" b="0"/>
            <wp:docPr id="8" name="Picture 2" descr="G:\screen shot images\Screenshot_20200329-20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reen shot images\Screenshot_20200329-200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31" cy="288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8817E0" w14:textId="77777777" w:rsidR="00367E62" w:rsidRPr="002D5D2C" w:rsidRDefault="00367E62" w:rsidP="00550210">
      <w:pPr>
        <w:pStyle w:val="ListParagraph"/>
        <w:ind w:left="1296"/>
        <w:rPr>
          <w:sz w:val="28"/>
          <w:szCs w:val="28"/>
        </w:rPr>
      </w:pPr>
      <w:r>
        <w:rPr>
          <w:sz w:val="28"/>
          <w:szCs w:val="28"/>
        </w:rPr>
        <w:t>Fig – mature sporangiophore    Fig – L.S. &amp; T.S. of sporangiophore</w:t>
      </w:r>
    </w:p>
    <w:p w14:paraId="788817E1" w14:textId="77777777" w:rsidR="00550210" w:rsidRDefault="00550210" w:rsidP="002D5D2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788817E2" w14:textId="77777777" w:rsidR="001F460B" w:rsidRDefault="00860F4A" w:rsidP="0055021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peltate disc bears on its under surface close to its edge, a ring of several </w:t>
      </w:r>
      <w:r w:rsidR="001F460B">
        <w:rPr>
          <w:sz w:val="28"/>
          <w:szCs w:val="28"/>
        </w:rPr>
        <w:t>usually 5 – 10 sac like pendent sporangia.</w:t>
      </w:r>
    </w:p>
    <w:p w14:paraId="788817E3" w14:textId="77777777" w:rsidR="001F460B" w:rsidRDefault="001F460B" w:rsidP="0055021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They extend inward towards the axis of the cone and fill all the space that is left between it and the sporangiophores</w:t>
      </w:r>
    </w:p>
    <w:p w14:paraId="788817E4" w14:textId="77777777" w:rsidR="001F460B" w:rsidRDefault="001F460B" w:rsidP="0055021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peltate heads fit closely together so that the sporangia are concealed.</w:t>
      </w:r>
    </w:p>
    <w:p w14:paraId="788817E5" w14:textId="77777777" w:rsidR="001F460B" w:rsidRDefault="001F460B" w:rsidP="0055021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At the base of cone, the central axis bears a ring like outgrowth </w:t>
      </w:r>
      <w:proofErr w:type="gramStart"/>
      <w:r>
        <w:rPr>
          <w:sz w:val="28"/>
          <w:szCs w:val="28"/>
        </w:rPr>
        <w:t>called  the</w:t>
      </w:r>
      <w:proofErr w:type="gramEnd"/>
      <w:r>
        <w:rPr>
          <w:sz w:val="28"/>
          <w:szCs w:val="28"/>
        </w:rPr>
        <w:t xml:space="preserve"> annulus. It is a protective structure.</w:t>
      </w:r>
    </w:p>
    <w:p w14:paraId="788817E6" w14:textId="77777777" w:rsidR="001F460B" w:rsidRDefault="001F460B" w:rsidP="001F460B">
      <w:pPr>
        <w:pStyle w:val="ListParagraph"/>
        <w:ind w:left="1296"/>
        <w:rPr>
          <w:sz w:val="28"/>
          <w:szCs w:val="28"/>
        </w:rPr>
      </w:pPr>
    </w:p>
    <w:p w14:paraId="788817E7" w14:textId="77777777" w:rsidR="000C6833" w:rsidRDefault="000C6833" w:rsidP="001F460B">
      <w:pPr>
        <w:rPr>
          <w:b/>
          <w:sz w:val="28"/>
          <w:szCs w:val="28"/>
        </w:rPr>
      </w:pPr>
    </w:p>
    <w:p w14:paraId="788817E8" w14:textId="77777777" w:rsidR="001F460B" w:rsidRDefault="001F460B" w:rsidP="001F460B">
      <w:pPr>
        <w:rPr>
          <w:b/>
          <w:sz w:val="28"/>
          <w:szCs w:val="28"/>
        </w:rPr>
      </w:pPr>
      <w:proofErr w:type="gramStart"/>
      <w:r w:rsidRPr="001F460B">
        <w:rPr>
          <w:b/>
          <w:sz w:val="28"/>
          <w:szCs w:val="28"/>
        </w:rPr>
        <w:t>Sporangia :</w:t>
      </w:r>
      <w:proofErr w:type="gramEnd"/>
      <w:r w:rsidRPr="001F460B">
        <w:rPr>
          <w:b/>
          <w:sz w:val="28"/>
          <w:szCs w:val="28"/>
        </w:rPr>
        <w:t xml:space="preserve">- </w:t>
      </w:r>
    </w:p>
    <w:p w14:paraId="788817E9" w14:textId="77777777" w:rsidR="001F460B" w:rsidRDefault="001F460B" w:rsidP="001F460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A </w:t>
      </w:r>
      <w:proofErr w:type="gramStart"/>
      <w:r>
        <w:rPr>
          <w:sz w:val="28"/>
          <w:szCs w:val="28"/>
        </w:rPr>
        <w:t>mature sporangia</w:t>
      </w:r>
      <w:proofErr w:type="gramEnd"/>
      <w:r>
        <w:rPr>
          <w:sz w:val="28"/>
          <w:szCs w:val="28"/>
        </w:rPr>
        <w:t xml:space="preserve"> is an elongated sac like structure.</w:t>
      </w:r>
    </w:p>
    <w:p w14:paraId="788817EA" w14:textId="77777777" w:rsidR="004A62AB" w:rsidRDefault="004A62AB" w:rsidP="001F460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367E62">
        <w:rPr>
          <w:sz w:val="28"/>
          <w:szCs w:val="28"/>
        </w:rPr>
        <w:t>contains</w:t>
      </w:r>
      <w:r>
        <w:rPr>
          <w:sz w:val="28"/>
          <w:szCs w:val="28"/>
        </w:rPr>
        <w:t xml:space="preserve"> a large number of haploid spores and the spores are equal in size as it is homosporous.</w:t>
      </w:r>
    </w:p>
    <w:p w14:paraId="788817EB" w14:textId="77777777" w:rsidR="004A62AB" w:rsidRDefault="004A62AB" w:rsidP="001F460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mature sporangia 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a single layer of wall cells. The cell walls of this layer </w:t>
      </w:r>
      <w:r w:rsidR="00367E62">
        <w:rPr>
          <w:sz w:val="28"/>
          <w:szCs w:val="28"/>
        </w:rPr>
        <w:t>are spirally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theakened</w:t>
      </w:r>
      <w:proofErr w:type="spellEnd"/>
      <w:r>
        <w:rPr>
          <w:sz w:val="28"/>
          <w:szCs w:val="28"/>
        </w:rPr>
        <w:t xml:space="preserve">.  </w:t>
      </w:r>
    </w:p>
    <w:p w14:paraId="788817EC" w14:textId="77777777" w:rsidR="004A62AB" w:rsidRDefault="004A62AB" w:rsidP="001F460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 young sporangium has 2 – 4 layered thick walled.</w:t>
      </w:r>
    </w:p>
    <w:p w14:paraId="788817ED" w14:textId="77777777" w:rsidR="004A62AB" w:rsidRDefault="004A62AB" w:rsidP="001F460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innermost wall layer is derived from the outermost </w:t>
      </w:r>
      <w:proofErr w:type="spellStart"/>
      <w:r>
        <w:rPr>
          <w:sz w:val="28"/>
          <w:szCs w:val="28"/>
        </w:rPr>
        <w:t>sporogenous</w:t>
      </w:r>
      <w:proofErr w:type="spellEnd"/>
      <w:r>
        <w:rPr>
          <w:sz w:val="28"/>
          <w:szCs w:val="28"/>
        </w:rPr>
        <w:t xml:space="preserve"> cells and is called </w:t>
      </w:r>
      <w:r w:rsidRPr="00367E62">
        <w:rPr>
          <w:sz w:val="28"/>
          <w:szCs w:val="28"/>
          <w:u w:val="single"/>
        </w:rPr>
        <w:t>tapetum</w:t>
      </w:r>
      <w:r>
        <w:rPr>
          <w:sz w:val="28"/>
          <w:szCs w:val="28"/>
        </w:rPr>
        <w:t>.</w:t>
      </w:r>
    </w:p>
    <w:p w14:paraId="788817EE" w14:textId="77777777" w:rsidR="004A62AB" w:rsidRDefault="004A62AB" w:rsidP="001F460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Sporangia </w:t>
      </w:r>
      <w:r w:rsidR="00367E62">
        <w:rPr>
          <w:sz w:val="28"/>
          <w:szCs w:val="28"/>
        </w:rPr>
        <w:t>contain both</w:t>
      </w:r>
      <w:r>
        <w:rPr>
          <w:sz w:val="28"/>
          <w:szCs w:val="28"/>
        </w:rPr>
        <w:t xml:space="preserve"> the spores and elaters.</w:t>
      </w:r>
    </w:p>
    <w:p w14:paraId="788817EF" w14:textId="77777777" w:rsidR="004A62AB" w:rsidRDefault="004A62AB" w:rsidP="004A6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Spores and </w:t>
      </w:r>
      <w:proofErr w:type="gramStart"/>
      <w:r>
        <w:rPr>
          <w:b/>
          <w:sz w:val="28"/>
          <w:szCs w:val="28"/>
        </w:rPr>
        <w:t xml:space="preserve">elaters </w:t>
      </w:r>
      <w:r w:rsidR="00E430FD">
        <w:rPr>
          <w:b/>
          <w:sz w:val="28"/>
          <w:szCs w:val="28"/>
        </w:rPr>
        <w:t>:</w:t>
      </w:r>
      <w:proofErr w:type="gramEnd"/>
      <w:r w:rsidR="00E430FD">
        <w:rPr>
          <w:b/>
          <w:sz w:val="28"/>
          <w:szCs w:val="28"/>
        </w:rPr>
        <w:t xml:space="preserve">- </w:t>
      </w:r>
    </w:p>
    <w:p w14:paraId="788817F0" w14:textId="77777777" w:rsidR="00E430FD" w:rsidRPr="00E430FD" w:rsidRDefault="00E430FD" w:rsidP="00E430F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mature spores are round and contain numerous </w:t>
      </w:r>
      <w:r w:rsidR="00367E62">
        <w:rPr>
          <w:sz w:val="28"/>
          <w:szCs w:val="28"/>
        </w:rPr>
        <w:t>chloroplasts</w:t>
      </w:r>
      <w:r>
        <w:rPr>
          <w:sz w:val="28"/>
          <w:szCs w:val="28"/>
        </w:rPr>
        <w:t>.</w:t>
      </w:r>
    </w:p>
    <w:p w14:paraId="788817F1" w14:textId="77777777" w:rsidR="00E430FD" w:rsidRPr="00E430FD" w:rsidRDefault="00E430FD" w:rsidP="00E430F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Each spore </w:t>
      </w:r>
      <w:proofErr w:type="gramStart"/>
      <w:r>
        <w:rPr>
          <w:sz w:val="28"/>
          <w:szCs w:val="28"/>
        </w:rPr>
        <w:t>contain</w:t>
      </w:r>
      <w:proofErr w:type="gramEnd"/>
      <w:r>
        <w:rPr>
          <w:sz w:val="28"/>
          <w:szCs w:val="28"/>
        </w:rPr>
        <w:t xml:space="preserve"> a thick spore wall differentiated into four layers outermost </w:t>
      </w:r>
      <w:proofErr w:type="spellStart"/>
      <w:r>
        <w:rPr>
          <w:sz w:val="28"/>
          <w:szCs w:val="28"/>
        </w:rPr>
        <w:t>epispore</w:t>
      </w:r>
      <w:proofErr w:type="spellEnd"/>
      <w:r>
        <w:rPr>
          <w:sz w:val="28"/>
          <w:szCs w:val="28"/>
        </w:rPr>
        <w:t xml:space="preserve">, middle perispore, third exospores and innermost endospore or </w:t>
      </w:r>
      <w:proofErr w:type="spellStart"/>
      <w:r>
        <w:rPr>
          <w:sz w:val="28"/>
          <w:szCs w:val="28"/>
        </w:rPr>
        <w:t>endosporium</w:t>
      </w:r>
      <w:proofErr w:type="spellEnd"/>
      <w:r>
        <w:rPr>
          <w:sz w:val="28"/>
          <w:szCs w:val="28"/>
        </w:rPr>
        <w:t>.</w:t>
      </w:r>
    </w:p>
    <w:p w14:paraId="788817F2" w14:textId="77777777" w:rsidR="00E430FD" w:rsidRPr="00E430FD" w:rsidRDefault="00E430FD" w:rsidP="00E430F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The elaters are developed on the outer spore wall and spirally wrapped around the spores</w:t>
      </w:r>
    </w:p>
    <w:p w14:paraId="788817F3" w14:textId="77777777" w:rsidR="00E430FD" w:rsidRPr="000C6833" w:rsidRDefault="00E430FD" w:rsidP="00E430F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Elaters are hygroscopic and remain coiled around the spore in moist air. When dry the elaters help in spore dispersal.</w:t>
      </w:r>
    </w:p>
    <w:p w14:paraId="788817F4" w14:textId="77777777" w:rsidR="000C6833" w:rsidRDefault="000C6833" w:rsidP="000C6833">
      <w:pPr>
        <w:rPr>
          <w:b/>
          <w:sz w:val="28"/>
          <w:szCs w:val="28"/>
        </w:rPr>
      </w:pPr>
    </w:p>
    <w:p w14:paraId="788817F5" w14:textId="77777777" w:rsidR="000C6833" w:rsidRDefault="000C6833" w:rsidP="000C6833">
      <w:pPr>
        <w:rPr>
          <w:b/>
          <w:sz w:val="28"/>
          <w:szCs w:val="28"/>
        </w:rPr>
      </w:pPr>
    </w:p>
    <w:p w14:paraId="788817F6" w14:textId="77777777" w:rsidR="000C6833" w:rsidRDefault="000C6833" w:rsidP="000C6833">
      <w:pPr>
        <w:rPr>
          <w:b/>
          <w:sz w:val="28"/>
          <w:szCs w:val="28"/>
        </w:rPr>
      </w:pPr>
    </w:p>
    <w:p w14:paraId="788817F7" w14:textId="77777777" w:rsidR="000C6833" w:rsidRDefault="000C6833" w:rsidP="000C6833">
      <w:pPr>
        <w:rPr>
          <w:b/>
          <w:sz w:val="28"/>
          <w:szCs w:val="28"/>
        </w:rPr>
      </w:pPr>
    </w:p>
    <w:p w14:paraId="788817F8" w14:textId="77777777" w:rsidR="000C6833" w:rsidRDefault="000C6833" w:rsidP="000C6833">
      <w:pPr>
        <w:rPr>
          <w:b/>
          <w:sz w:val="28"/>
          <w:szCs w:val="28"/>
        </w:rPr>
      </w:pPr>
    </w:p>
    <w:p w14:paraId="788817F9" w14:textId="77777777" w:rsidR="000C6833" w:rsidRDefault="000C6833" w:rsidP="000C6833">
      <w:pPr>
        <w:rPr>
          <w:b/>
          <w:sz w:val="28"/>
          <w:szCs w:val="28"/>
        </w:rPr>
      </w:pPr>
    </w:p>
    <w:sectPr w:rsidR="000C6833" w:rsidSect="0068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1801" w14:textId="77777777" w:rsidR="005A3C3B" w:rsidRDefault="005A3C3B" w:rsidP="004A62AB">
      <w:pPr>
        <w:spacing w:after="0" w:line="240" w:lineRule="auto"/>
      </w:pPr>
      <w:r>
        <w:separator/>
      </w:r>
    </w:p>
  </w:endnote>
  <w:endnote w:type="continuationSeparator" w:id="0">
    <w:p w14:paraId="78881802" w14:textId="77777777" w:rsidR="005A3C3B" w:rsidRDefault="005A3C3B" w:rsidP="004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17FF" w14:textId="77777777" w:rsidR="005A3C3B" w:rsidRDefault="005A3C3B" w:rsidP="004A62AB">
      <w:pPr>
        <w:spacing w:after="0" w:line="240" w:lineRule="auto"/>
      </w:pPr>
      <w:r>
        <w:separator/>
      </w:r>
    </w:p>
  </w:footnote>
  <w:footnote w:type="continuationSeparator" w:id="0">
    <w:p w14:paraId="78881800" w14:textId="77777777" w:rsidR="005A3C3B" w:rsidRDefault="005A3C3B" w:rsidP="004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3F47"/>
    <w:multiLevelType w:val="hybridMultilevel"/>
    <w:tmpl w:val="1B108446"/>
    <w:lvl w:ilvl="0" w:tplc="3FD4070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42AA2C0C"/>
    <w:multiLevelType w:val="hybridMultilevel"/>
    <w:tmpl w:val="5B2C201C"/>
    <w:lvl w:ilvl="0" w:tplc="91F04346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6B450C24"/>
    <w:multiLevelType w:val="hybridMultilevel"/>
    <w:tmpl w:val="78BEAD2E"/>
    <w:lvl w:ilvl="0" w:tplc="37F64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DF67B6"/>
    <w:multiLevelType w:val="hybridMultilevel"/>
    <w:tmpl w:val="4C9092A6"/>
    <w:lvl w:ilvl="0" w:tplc="3EEE8D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B1797"/>
    <w:multiLevelType w:val="hybridMultilevel"/>
    <w:tmpl w:val="7526B648"/>
    <w:lvl w:ilvl="0" w:tplc="5E94B40A">
      <w:start w:val="1"/>
      <w:numFmt w:val="decimal"/>
      <w:lvlText w:val="%1."/>
      <w:lvlJc w:val="left"/>
      <w:pPr>
        <w:ind w:left="12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5" w15:restartNumberingAfterBreak="0">
    <w:nsid w:val="7CD30236"/>
    <w:multiLevelType w:val="hybridMultilevel"/>
    <w:tmpl w:val="E782F1E2"/>
    <w:lvl w:ilvl="0" w:tplc="6D364C7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831220588">
    <w:abstractNumId w:val="3"/>
  </w:num>
  <w:num w:numId="2" w16cid:durableId="1913737704">
    <w:abstractNumId w:val="2"/>
  </w:num>
  <w:num w:numId="3" w16cid:durableId="527524618">
    <w:abstractNumId w:val="5"/>
  </w:num>
  <w:num w:numId="4" w16cid:durableId="134107301">
    <w:abstractNumId w:val="1"/>
  </w:num>
  <w:num w:numId="5" w16cid:durableId="155535940">
    <w:abstractNumId w:val="4"/>
  </w:num>
  <w:num w:numId="6" w16cid:durableId="1110976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79"/>
    <w:rsid w:val="00065319"/>
    <w:rsid w:val="00094B0B"/>
    <w:rsid w:val="000B4005"/>
    <w:rsid w:val="000C6833"/>
    <w:rsid w:val="001F460B"/>
    <w:rsid w:val="002D5D2C"/>
    <w:rsid w:val="00367E62"/>
    <w:rsid w:val="003D5D36"/>
    <w:rsid w:val="003E7721"/>
    <w:rsid w:val="004A62AB"/>
    <w:rsid w:val="004A7D60"/>
    <w:rsid w:val="005376E1"/>
    <w:rsid w:val="00550210"/>
    <w:rsid w:val="00575B23"/>
    <w:rsid w:val="005A3C3B"/>
    <w:rsid w:val="005F0C7E"/>
    <w:rsid w:val="006875FF"/>
    <w:rsid w:val="006D38A1"/>
    <w:rsid w:val="00723EA7"/>
    <w:rsid w:val="00860F4A"/>
    <w:rsid w:val="008B7379"/>
    <w:rsid w:val="00A558F3"/>
    <w:rsid w:val="00A679F0"/>
    <w:rsid w:val="00A7140F"/>
    <w:rsid w:val="00A91C0A"/>
    <w:rsid w:val="00BB549C"/>
    <w:rsid w:val="00C56FCA"/>
    <w:rsid w:val="00D32CAA"/>
    <w:rsid w:val="00D878EC"/>
    <w:rsid w:val="00DC5C64"/>
    <w:rsid w:val="00E4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17C8"/>
  <w15:docId w15:val="{31673D1A-6483-41A4-9D01-1AD56737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2AB"/>
  </w:style>
  <w:style w:type="paragraph" w:styleId="Footer">
    <w:name w:val="footer"/>
    <w:basedOn w:val="Normal"/>
    <w:link w:val="FooterChar"/>
    <w:uiPriority w:val="99"/>
    <w:semiHidden/>
    <w:unhideWhenUsed/>
    <w:rsid w:val="004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RABISANKAR DAS</dc:creator>
  <cp:lastModifiedBy>Madhushri Das Datta</cp:lastModifiedBy>
  <cp:revision>7</cp:revision>
  <dcterms:created xsi:type="dcterms:W3CDTF">2020-03-29T15:26:00Z</dcterms:created>
  <dcterms:modified xsi:type="dcterms:W3CDTF">2023-12-13T17:43:00Z</dcterms:modified>
</cp:coreProperties>
</file>